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430FD" w:rsidRPr="008D14C3" w:rsidRDefault="00D430FD" w:rsidP="008D14C3">
      <w:pPr>
        <w:pStyle w:val="Titre1"/>
        <w:rPr>
          <w:rFonts w:ascii="Arial" w:hAnsi="Arial" w:cs="Arial"/>
          <w:color w:val="0096DC"/>
          <w:sz w:val="19"/>
          <w:szCs w:val="19"/>
        </w:rPr>
      </w:pPr>
      <w:r w:rsidRPr="008D14C3">
        <w:rPr>
          <w:rFonts w:ascii="Arial" w:hAnsi="Arial" w:cs="Arial"/>
          <w:color w:val="0096DC"/>
        </w:rPr>
        <w:t>Apport avant cession</w:t>
      </w:r>
    </w:p>
    <w:p w:rsidR="00D430FD" w:rsidRPr="008D14C3" w:rsidRDefault="00D430FD" w:rsidP="008D14C3">
      <w:pPr>
        <w:autoSpaceDE w:val="0"/>
        <w:autoSpaceDN w:val="0"/>
        <w:adjustRightInd w:val="0"/>
        <w:spacing w:after="0" w:line="240" w:lineRule="auto"/>
        <w:jc w:val="both"/>
        <w:rPr>
          <w:rFonts w:ascii="Arial" w:hAnsi="Arial" w:cs="Arial"/>
          <w:sz w:val="20"/>
          <w:szCs w:val="20"/>
        </w:rPr>
      </w:pPr>
    </w:p>
    <w:p w:rsidR="00D430FD" w:rsidRPr="008D14C3" w:rsidRDefault="00D430FD" w:rsidP="008D14C3">
      <w:pPr>
        <w:autoSpaceDE w:val="0"/>
        <w:autoSpaceDN w:val="0"/>
        <w:adjustRightInd w:val="0"/>
        <w:spacing w:after="0" w:line="240" w:lineRule="auto"/>
        <w:jc w:val="both"/>
        <w:rPr>
          <w:rFonts w:ascii="Arial" w:hAnsi="Arial" w:cs="Arial"/>
          <w:sz w:val="20"/>
          <w:szCs w:val="20"/>
        </w:rPr>
      </w:pPr>
      <w:r w:rsidRPr="008D14C3">
        <w:rPr>
          <w:rFonts w:ascii="Arial" w:hAnsi="Arial" w:cs="Arial"/>
          <w:sz w:val="20"/>
          <w:szCs w:val="20"/>
        </w:rPr>
        <w:t xml:space="preserve">Le dirigeant peut, avant la vente, apporter ses titres à une société holding qu’il contrôle. </w:t>
      </w:r>
    </w:p>
    <w:p w:rsidR="00D430FD" w:rsidRPr="008D14C3" w:rsidRDefault="00D430FD" w:rsidP="008D14C3">
      <w:pPr>
        <w:autoSpaceDE w:val="0"/>
        <w:autoSpaceDN w:val="0"/>
        <w:adjustRightInd w:val="0"/>
        <w:spacing w:after="0" w:line="240" w:lineRule="auto"/>
        <w:jc w:val="both"/>
        <w:rPr>
          <w:rFonts w:ascii="Arial" w:hAnsi="Arial" w:cs="Arial"/>
          <w:sz w:val="20"/>
          <w:szCs w:val="20"/>
        </w:rPr>
      </w:pPr>
      <w:r w:rsidRPr="008D14C3">
        <w:rPr>
          <w:rFonts w:ascii="Arial" w:hAnsi="Arial" w:cs="Arial"/>
          <w:sz w:val="20"/>
          <w:szCs w:val="20"/>
        </w:rPr>
        <w:t xml:space="preserve">Les plus-values d’apport de titres bénéficient alors d’un report d’imposition. Si la holding revend les titres de l’entreprise après un délai de 3 ans, le report d’imposition n’est pas remis en cause et les plus-values ne sont pas exigibles, quels que soient les remplois réalisés par la société holding avec le cash issu de la cession : immobilier, capitalisation, Sicav ou autres outils patrimoniaux... À condition toutefois de respecter l'objet social de la société. Notons que si la valeur de la société apportée a augmenté entre l'apport et la cession, la plus-value réalisée sera taxée au titre de la fiscalité de cession des titres de participation avec une réintégration pour frais et charges, soit 12 % en valeur 2019. </w:t>
      </w:r>
    </w:p>
    <w:p w:rsidR="00D430FD" w:rsidRPr="008D14C3" w:rsidRDefault="00D430FD" w:rsidP="008D14C3">
      <w:pPr>
        <w:autoSpaceDE w:val="0"/>
        <w:autoSpaceDN w:val="0"/>
        <w:adjustRightInd w:val="0"/>
        <w:spacing w:after="0" w:line="240" w:lineRule="auto"/>
        <w:jc w:val="both"/>
        <w:rPr>
          <w:rFonts w:ascii="Arial" w:hAnsi="Arial" w:cs="Arial"/>
          <w:sz w:val="20"/>
          <w:szCs w:val="20"/>
        </w:rPr>
      </w:pPr>
    </w:p>
    <w:p w:rsidR="00D430FD" w:rsidRPr="008D14C3" w:rsidRDefault="00D430FD" w:rsidP="008D14C3">
      <w:pPr>
        <w:autoSpaceDE w:val="0"/>
        <w:autoSpaceDN w:val="0"/>
        <w:adjustRightInd w:val="0"/>
        <w:spacing w:after="0" w:line="240" w:lineRule="auto"/>
        <w:jc w:val="both"/>
        <w:rPr>
          <w:rFonts w:ascii="Arial" w:hAnsi="Arial" w:cs="Arial"/>
          <w:sz w:val="20"/>
          <w:szCs w:val="20"/>
        </w:rPr>
      </w:pPr>
      <w:r w:rsidRPr="008D14C3">
        <w:rPr>
          <w:rFonts w:ascii="Arial" w:hAnsi="Arial" w:cs="Arial"/>
          <w:sz w:val="20"/>
          <w:szCs w:val="20"/>
        </w:rPr>
        <w:t xml:space="preserve">En cas de revente avant ce délai de 3 ans, le report peut être maintenu à condition que la holding réinvestisse, dans les 2 ans de la cession, au moins 60 % du prix de vente dans une activité économique éligible. Une obligation de réinvestissement qui peut être pénalisante dans une stratégie de transmission rapide. Il est donc nécessaire de bien évaluer, dans le temps, ce schéma. </w:t>
      </w:r>
    </w:p>
    <w:p w:rsidR="00D430FD" w:rsidRPr="008D14C3" w:rsidRDefault="00D430FD" w:rsidP="008D14C3">
      <w:pPr>
        <w:autoSpaceDE w:val="0"/>
        <w:autoSpaceDN w:val="0"/>
        <w:adjustRightInd w:val="0"/>
        <w:spacing w:after="0" w:line="240" w:lineRule="auto"/>
        <w:jc w:val="both"/>
        <w:rPr>
          <w:rFonts w:ascii="Arial" w:hAnsi="Arial" w:cs="Arial"/>
          <w:sz w:val="20"/>
          <w:szCs w:val="20"/>
        </w:rPr>
      </w:pPr>
    </w:p>
    <w:p w:rsidR="00D430FD" w:rsidRPr="008D14C3" w:rsidRDefault="00D430FD" w:rsidP="008D14C3">
      <w:pPr>
        <w:autoSpaceDE w:val="0"/>
        <w:autoSpaceDN w:val="0"/>
        <w:adjustRightInd w:val="0"/>
        <w:spacing w:after="0" w:line="240" w:lineRule="auto"/>
        <w:jc w:val="both"/>
        <w:rPr>
          <w:rFonts w:ascii="Arial" w:hAnsi="Arial" w:cs="Arial"/>
          <w:sz w:val="20"/>
          <w:szCs w:val="20"/>
        </w:rPr>
      </w:pPr>
      <w:r w:rsidRPr="008D14C3">
        <w:rPr>
          <w:rFonts w:ascii="Arial" w:hAnsi="Arial" w:cs="Arial"/>
          <w:sz w:val="20"/>
          <w:szCs w:val="20"/>
        </w:rPr>
        <w:t xml:space="preserve">Mais attention, l’imposition des plus-values resurgit lorsque les titres de la holding, reçus en contrepartie de l’apport, sont cédés ou annulés. </w:t>
      </w:r>
    </w:p>
    <w:p w:rsidR="00D430FD" w:rsidRPr="008D14C3" w:rsidRDefault="00D430FD" w:rsidP="008D14C3">
      <w:pPr>
        <w:autoSpaceDE w:val="0"/>
        <w:autoSpaceDN w:val="0"/>
        <w:adjustRightInd w:val="0"/>
        <w:spacing w:after="0" w:line="240" w:lineRule="auto"/>
        <w:jc w:val="both"/>
        <w:rPr>
          <w:rFonts w:ascii="Arial" w:hAnsi="Arial" w:cs="Arial"/>
          <w:sz w:val="20"/>
          <w:szCs w:val="20"/>
        </w:rPr>
      </w:pPr>
    </w:p>
    <w:p w:rsidR="00D430FD" w:rsidRPr="008D14C3" w:rsidRDefault="00D430FD" w:rsidP="008D14C3">
      <w:pPr>
        <w:autoSpaceDE w:val="0"/>
        <w:autoSpaceDN w:val="0"/>
        <w:adjustRightInd w:val="0"/>
        <w:spacing w:after="0" w:line="240" w:lineRule="auto"/>
        <w:jc w:val="both"/>
        <w:rPr>
          <w:rFonts w:ascii="Arial" w:hAnsi="Arial" w:cs="Arial"/>
          <w:i/>
          <w:iCs/>
        </w:rPr>
      </w:pPr>
      <w:r w:rsidRPr="008D14C3">
        <w:rPr>
          <w:rFonts w:ascii="Arial" w:hAnsi="Arial" w:cs="Arial"/>
          <w:color w:val="0096DC"/>
        </w:rPr>
        <w:t>Note pour l'expert :</w:t>
      </w:r>
    </w:p>
    <w:p w:rsidR="00D430FD" w:rsidRPr="008D14C3" w:rsidRDefault="00D430FD" w:rsidP="008D14C3">
      <w:pPr>
        <w:autoSpaceDE w:val="0"/>
        <w:autoSpaceDN w:val="0"/>
        <w:adjustRightInd w:val="0"/>
        <w:spacing w:after="0" w:line="240" w:lineRule="auto"/>
        <w:jc w:val="both"/>
        <w:rPr>
          <w:rFonts w:ascii="Arial" w:hAnsi="Arial" w:cs="Arial"/>
          <w:i/>
          <w:iCs/>
          <w:sz w:val="20"/>
          <w:szCs w:val="20"/>
        </w:rPr>
      </w:pPr>
      <w:bookmarkStart w:id="0" w:name="_GoBack"/>
      <w:bookmarkEnd w:id="0"/>
    </w:p>
    <w:p w:rsidR="00D430FD" w:rsidRPr="008D14C3" w:rsidRDefault="00D430FD" w:rsidP="008D14C3">
      <w:pPr>
        <w:autoSpaceDE w:val="0"/>
        <w:autoSpaceDN w:val="0"/>
        <w:adjustRightInd w:val="0"/>
        <w:spacing w:after="0" w:line="240" w:lineRule="auto"/>
        <w:jc w:val="both"/>
        <w:rPr>
          <w:rFonts w:ascii="Arial" w:hAnsi="Arial" w:cs="Arial"/>
          <w:i/>
          <w:iCs/>
          <w:sz w:val="20"/>
          <w:szCs w:val="20"/>
        </w:rPr>
      </w:pPr>
      <w:r w:rsidRPr="008D14C3">
        <w:rPr>
          <w:rFonts w:ascii="Arial" w:hAnsi="Arial" w:cs="Arial"/>
          <w:i/>
          <w:iCs/>
          <w:sz w:val="20"/>
          <w:szCs w:val="20"/>
        </w:rPr>
        <w:t>Seule une analyse</w:t>
      </w:r>
      <w:r w:rsidRPr="008D14C3">
        <w:rPr>
          <w:rFonts w:ascii="Arial" w:hAnsi="Arial" w:cs="Arial"/>
          <w:sz w:val="20"/>
          <w:szCs w:val="20"/>
        </w:rPr>
        <w:t xml:space="preserve"> </w:t>
      </w:r>
      <w:r w:rsidRPr="008D14C3">
        <w:rPr>
          <w:rFonts w:ascii="Arial" w:hAnsi="Arial" w:cs="Arial"/>
          <w:i/>
          <w:iCs/>
          <w:sz w:val="20"/>
          <w:szCs w:val="20"/>
        </w:rPr>
        <w:t>précise des besoins du client en</w:t>
      </w:r>
      <w:r w:rsidRPr="008D14C3">
        <w:rPr>
          <w:rFonts w:ascii="Arial" w:hAnsi="Arial" w:cs="Arial"/>
          <w:sz w:val="20"/>
          <w:szCs w:val="20"/>
        </w:rPr>
        <w:t xml:space="preserve"> </w:t>
      </w:r>
      <w:r w:rsidRPr="008D14C3">
        <w:rPr>
          <w:rFonts w:ascii="Arial" w:hAnsi="Arial" w:cs="Arial"/>
          <w:i/>
          <w:iCs/>
          <w:sz w:val="20"/>
          <w:szCs w:val="20"/>
        </w:rPr>
        <w:t>termes de revenus et de cash dans le</w:t>
      </w:r>
      <w:r w:rsidRPr="008D14C3">
        <w:rPr>
          <w:rFonts w:ascii="Arial" w:hAnsi="Arial" w:cs="Arial"/>
          <w:sz w:val="20"/>
          <w:szCs w:val="20"/>
        </w:rPr>
        <w:t xml:space="preserve"> </w:t>
      </w:r>
      <w:r w:rsidRPr="008D14C3">
        <w:rPr>
          <w:rFonts w:ascii="Arial" w:hAnsi="Arial" w:cs="Arial"/>
          <w:i/>
          <w:iCs/>
          <w:sz w:val="20"/>
          <w:szCs w:val="20"/>
        </w:rPr>
        <w:t>futur pourra donner une orientation</w:t>
      </w:r>
      <w:r w:rsidRPr="008D14C3">
        <w:rPr>
          <w:rFonts w:ascii="Arial" w:hAnsi="Arial" w:cs="Arial"/>
          <w:sz w:val="20"/>
          <w:szCs w:val="20"/>
        </w:rPr>
        <w:t xml:space="preserve"> </w:t>
      </w:r>
      <w:r w:rsidRPr="008D14C3">
        <w:rPr>
          <w:rFonts w:ascii="Arial" w:hAnsi="Arial" w:cs="Arial"/>
          <w:i/>
          <w:iCs/>
          <w:sz w:val="20"/>
          <w:szCs w:val="20"/>
        </w:rPr>
        <w:t xml:space="preserve">précise au conseil. </w:t>
      </w:r>
    </w:p>
    <w:p w:rsidR="00D430FD" w:rsidRPr="008D14C3" w:rsidRDefault="00D430FD" w:rsidP="008D14C3">
      <w:pPr>
        <w:autoSpaceDE w:val="0"/>
        <w:autoSpaceDN w:val="0"/>
        <w:adjustRightInd w:val="0"/>
        <w:spacing w:after="0" w:line="240" w:lineRule="auto"/>
        <w:jc w:val="both"/>
        <w:rPr>
          <w:rFonts w:ascii="Arial" w:hAnsi="Arial" w:cs="Arial"/>
          <w:i/>
          <w:iCs/>
          <w:sz w:val="20"/>
          <w:szCs w:val="20"/>
        </w:rPr>
      </w:pPr>
      <w:r w:rsidRPr="008D14C3">
        <w:rPr>
          <w:rFonts w:ascii="Arial" w:hAnsi="Arial" w:cs="Arial"/>
          <w:i/>
          <w:iCs/>
          <w:sz w:val="20"/>
          <w:szCs w:val="20"/>
        </w:rPr>
        <w:t>En effet, la seule</w:t>
      </w:r>
      <w:r w:rsidRPr="008D14C3">
        <w:rPr>
          <w:rFonts w:ascii="Arial" w:hAnsi="Arial" w:cs="Arial"/>
          <w:sz w:val="20"/>
          <w:szCs w:val="20"/>
        </w:rPr>
        <w:t xml:space="preserve"> </w:t>
      </w:r>
      <w:r w:rsidRPr="008D14C3">
        <w:rPr>
          <w:rFonts w:ascii="Arial" w:hAnsi="Arial" w:cs="Arial"/>
          <w:i/>
          <w:iCs/>
          <w:sz w:val="20"/>
          <w:szCs w:val="20"/>
        </w:rPr>
        <w:t>façon de « sortir » de ce dispositif sera</w:t>
      </w:r>
      <w:r w:rsidRPr="008D14C3">
        <w:rPr>
          <w:rFonts w:ascii="Arial" w:hAnsi="Arial" w:cs="Arial"/>
          <w:sz w:val="20"/>
          <w:szCs w:val="20"/>
        </w:rPr>
        <w:t xml:space="preserve"> </w:t>
      </w:r>
      <w:r w:rsidRPr="008D14C3">
        <w:rPr>
          <w:rFonts w:ascii="Arial" w:hAnsi="Arial" w:cs="Arial"/>
          <w:i/>
          <w:iCs/>
          <w:sz w:val="20"/>
          <w:szCs w:val="20"/>
        </w:rPr>
        <w:t>de payer le « prix fort » en distribuant</w:t>
      </w:r>
      <w:r w:rsidRPr="008D14C3">
        <w:rPr>
          <w:rFonts w:ascii="Arial" w:hAnsi="Arial" w:cs="Arial"/>
          <w:sz w:val="20"/>
          <w:szCs w:val="20"/>
        </w:rPr>
        <w:t xml:space="preserve"> </w:t>
      </w:r>
      <w:r w:rsidRPr="008D14C3">
        <w:rPr>
          <w:rFonts w:ascii="Arial" w:hAnsi="Arial" w:cs="Arial"/>
          <w:i/>
          <w:iCs/>
          <w:sz w:val="20"/>
          <w:szCs w:val="20"/>
        </w:rPr>
        <w:t>des dividendes ou bien par voie de</w:t>
      </w:r>
      <w:r w:rsidRPr="008D14C3">
        <w:rPr>
          <w:rFonts w:ascii="Arial" w:hAnsi="Arial" w:cs="Arial"/>
          <w:sz w:val="20"/>
          <w:szCs w:val="20"/>
        </w:rPr>
        <w:t xml:space="preserve"> </w:t>
      </w:r>
      <w:r w:rsidRPr="008D14C3">
        <w:rPr>
          <w:rFonts w:ascii="Arial" w:hAnsi="Arial" w:cs="Arial"/>
          <w:i/>
          <w:iCs/>
          <w:sz w:val="20"/>
          <w:szCs w:val="20"/>
        </w:rPr>
        <w:t>donation à condition que les donataires</w:t>
      </w:r>
      <w:r w:rsidRPr="008D14C3">
        <w:rPr>
          <w:rFonts w:ascii="Arial" w:hAnsi="Arial" w:cs="Arial"/>
          <w:sz w:val="20"/>
          <w:szCs w:val="20"/>
        </w:rPr>
        <w:t xml:space="preserve"> </w:t>
      </w:r>
      <w:r w:rsidRPr="008D14C3">
        <w:rPr>
          <w:rFonts w:ascii="Arial" w:hAnsi="Arial" w:cs="Arial"/>
          <w:i/>
          <w:iCs/>
          <w:sz w:val="20"/>
          <w:szCs w:val="20"/>
        </w:rPr>
        <w:t>ne se séparent pas des titres dans</w:t>
      </w:r>
      <w:r w:rsidRPr="008D14C3">
        <w:rPr>
          <w:rFonts w:ascii="Arial" w:hAnsi="Arial" w:cs="Arial"/>
          <w:sz w:val="20"/>
          <w:szCs w:val="20"/>
        </w:rPr>
        <w:t xml:space="preserve"> </w:t>
      </w:r>
      <w:r w:rsidRPr="008D14C3">
        <w:rPr>
          <w:rFonts w:ascii="Arial" w:hAnsi="Arial" w:cs="Arial"/>
          <w:i/>
          <w:iCs/>
          <w:sz w:val="20"/>
          <w:szCs w:val="20"/>
        </w:rPr>
        <w:t xml:space="preserve">les 18 mois suivant l'acte. </w:t>
      </w:r>
    </w:p>
    <w:p w:rsidR="00D430FD" w:rsidRPr="008D14C3" w:rsidRDefault="00D430FD" w:rsidP="008D14C3">
      <w:pPr>
        <w:autoSpaceDE w:val="0"/>
        <w:autoSpaceDN w:val="0"/>
        <w:adjustRightInd w:val="0"/>
        <w:spacing w:after="0" w:line="240" w:lineRule="auto"/>
        <w:jc w:val="both"/>
        <w:rPr>
          <w:rFonts w:ascii="Arial" w:hAnsi="Arial" w:cs="Arial"/>
          <w:sz w:val="20"/>
          <w:szCs w:val="20"/>
        </w:rPr>
      </w:pPr>
      <w:r w:rsidRPr="008D14C3">
        <w:rPr>
          <w:rFonts w:ascii="Arial" w:hAnsi="Arial" w:cs="Arial"/>
          <w:i/>
          <w:iCs/>
          <w:sz w:val="20"/>
          <w:szCs w:val="20"/>
        </w:rPr>
        <w:t>Quant au</w:t>
      </w:r>
      <w:r w:rsidRPr="008D14C3">
        <w:rPr>
          <w:rFonts w:ascii="Arial" w:hAnsi="Arial" w:cs="Arial"/>
          <w:sz w:val="20"/>
          <w:szCs w:val="20"/>
        </w:rPr>
        <w:t xml:space="preserve"> </w:t>
      </w:r>
      <w:r w:rsidRPr="008D14C3">
        <w:rPr>
          <w:rFonts w:ascii="Arial" w:hAnsi="Arial" w:cs="Arial"/>
          <w:i/>
          <w:iCs/>
          <w:sz w:val="20"/>
          <w:szCs w:val="20"/>
        </w:rPr>
        <w:t>décès du détenteur des titres reçus en</w:t>
      </w:r>
      <w:r w:rsidRPr="008D14C3">
        <w:rPr>
          <w:rFonts w:ascii="Arial" w:hAnsi="Arial" w:cs="Arial"/>
          <w:sz w:val="20"/>
          <w:szCs w:val="20"/>
        </w:rPr>
        <w:t xml:space="preserve"> </w:t>
      </w:r>
      <w:r w:rsidRPr="008D14C3">
        <w:rPr>
          <w:rFonts w:ascii="Arial" w:hAnsi="Arial" w:cs="Arial"/>
          <w:i/>
          <w:iCs/>
          <w:sz w:val="20"/>
          <w:szCs w:val="20"/>
        </w:rPr>
        <w:t>contrepartie de l'apport, il met fin au</w:t>
      </w:r>
      <w:r w:rsidRPr="008D14C3">
        <w:rPr>
          <w:rFonts w:ascii="Arial" w:hAnsi="Arial" w:cs="Arial"/>
          <w:sz w:val="20"/>
          <w:szCs w:val="20"/>
        </w:rPr>
        <w:t xml:space="preserve"> </w:t>
      </w:r>
      <w:r w:rsidRPr="008D14C3">
        <w:rPr>
          <w:rFonts w:ascii="Arial" w:hAnsi="Arial" w:cs="Arial"/>
          <w:i/>
          <w:iCs/>
          <w:sz w:val="20"/>
          <w:szCs w:val="20"/>
        </w:rPr>
        <w:t>report et la plus-value est abandonnée.</w:t>
      </w:r>
      <w:r w:rsidRPr="008D14C3">
        <w:rPr>
          <w:rFonts w:ascii="Arial" w:hAnsi="Arial" w:cs="Arial"/>
          <w:sz w:val="20"/>
          <w:szCs w:val="20"/>
        </w:rPr>
        <w:t xml:space="preserve"> </w:t>
      </w:r>
    </w:p>
    <w:p w:rsidR="00D430FD" w:rsidRPr="008D14C3" w:rsidRDefault="00D430FD" w:rsidP="008D14C3">
      <w:pPr>
        <w:autoSpaceDE w:val="0"/>
        <w:autoSpaceDN w:val="0"/>
        <w:adjustRightInd w:val="0"/>
        <w:spacing w:after="0" w:line="240" w:lineRule="auto"/>
        <w:jc w:val="both"/>
        <w:rPr>
          <w:rFonts w:ascii="Arial" w:hAnsi="Arial" w:cs="Arial"/>
          <w:sz w:val="20"/>
          <w:szCs w:val="20"/>
        </w:rPr>
      </w:pPr>
      <w:r w:rsidRPr="008D14C3">
        <w:rPr>
          <w:rFonts w:ascii="Arial" w:hAnsi="Arial" w:cs="Arial"/>
          <w:i/>
          <w:iCs/>
          <w:sz w:val="20"/>
          <w:szCs w:val="20"/>
        </w:rPr>
        <w:t>En général, cet outil est proposé au</w:t>
      </w:r>
      <w:r w:rsidRPr="008D14C3">
        <w:rPr>
          <w:rFonts w:ascii="Arial" w:hAnsi="Arial" w:cs="Arial"/>
          <w:sz w:val="20"/>
          <w:szCs w:val="20"/>
        </w:rPr>
        <w:t xml:space="preserve"> </w:t>
      </w:r>
      <w:r w:rsidRPr="008D14C3">
        <w:rPr>
          <w:rFonts w:ascii="Arial" w:hAnsi="Arial" w:cs="Arial"/>
          <w:i/>
          <w:iCs/>
          <w:sz w:val="20"/>
          <w:szCs w:val="20"/>
        </w:rPr>
        <w:t>dirigeant qui souhaite réinvestir dans</w:t>
      </w:r>
      <w:r w:rsidRPr="008D14C3">
        <w:rPr>
          <w:rFonts w:ascii="Arial" w:hAnsi="Arial" w:cs="Arial"/>
          <w:sz w:val="20"/>
          <w:szCs w:val="20"/>
        </w:rPr>
        <w:t xml:space="preserve"> </w:t>
      </w:r>
      <w:r w:rsidRPr="008D14C3">
        <w:rPr>
          <w:rFonts w:ascii="Arial" w:hAnsi="Arial" w:cs="Arial"/>
          <w:i/>
          <w:iCs/>
          <w:sz w:val="20"/>
          <w:szCs w:val="20"/>
        </w:rPr>
        <w:t>une nouvelle activité post-cession.</w:t>
      </w:r>
    </w:p>
    <w:sectPr w:rsidR="00D430FD" w:rsidRPr="008D14C3" w:rsidSect="008D14C3">
      <w:pgSz w:w="16838" w:h="11906"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30FD"/>
    <w:rsid w:val="00161370"/>
    <w:rsid w:val="008D14C3"/>
    <w:rsid w:val="00D42641"/>
    <w:rsid w:val="00D430F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4337852-BA22-4B9C-A783-88588AE982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8D14C3"/>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8D14C3"/>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8FB4B7F30684742B6258A9D9D25C0B8" ma:contentTypeVersion="7" ma:contentTypeDescription="Crée un document." ma:contentTypeScope="" ma:versionID="ae00dc0daf02cc2d2d2545bed329a3f6">
  <xsd:schema xmlns:xsd="http://www.w3.org/2001/XMLSchema" xmlns:xs="http://www.w3.org/2001/XMLSchema" xmlns:p="http://schemas.microsoft.com/office/2006/metadata/properties" xmlns:ns2="6d5251b5-7821-43d1-9086-a780a8122b2b" targetNamespace="http://schemas.microsoft.com/office/2006/metadata/properties" ma:root="true" ma:fieldsID="6cc25772f72e3ea954b34a94ffeb7d3a" ns2:_="">
    <xsd:import namespace="6d5251b5-7821-43d1-9086-a780a8122b2b"/>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d5251b5-7821-43d1-9086-a780a8122b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6A44108-BB46-45BD-8F15-B49D29B5A391}"/>
</file>

<file path=customXml/itemProps2.xml><?xml version="1.0" encoding="utf-8"?>
<ds:datastoreItem xmlns:ds="http://schemas.openxmlformats.org/officeDocument/2006/customXml" ds:itemID="{1A247F81-E2F4-4ED8-BB3E-351E76AC530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B241055-93A5-4C07-BD87-06333CA00BC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1</Pages>
  <Words>312</Words>
  <Characters>1716</Characters>
  <Application>Microsoft Office Word</Application>
  <DocSecurity>0</DocSecurity>
  <Lines>14</Lines>
  <Paragraphs>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Malicia D'ANNA</dc:creator>
  <cp:keywords/>
  <dc:description/>
  <cp:lastModifiedBy>Martial</cp:lastModifiedBy>
  <cp:revision>2</cp:revision>
  <dcterms:created xsi:type="dcterms:W3CDTF">2020-10-30T13:34:00Z</dcterms:created>
  <dcterms:modified xsi:type="dcterms:W3CDTF">2021-04-14T08:10:00Z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0x01010058FB4B7F30684742B6258A9D9D25C0B8</vt:lpwstr>
  </property>
</Properties>
</file>